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40DFD1CE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14:paraId="28D8B576" w14:textId="77777777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66B51EF3" w:rsidR="00E6556F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</w:t>
      </w:r>
      <w:r w:rsidR="00A67490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540E3">
        <w:rPr>
          <w:rFonts w:asciiTheme="minorHAnsi" w:hAnsiTheme="minorHAnsi" w:cstheme="minorHAnsi"/>
          <w:b/>
          <w:sz w:val="20"/>
          <w:szCs w:val="20"/>
        </w:rPr>
        <w:t>50</w:t>
      </w:r>
    </w:p>
    <w:p w14:paraId="2E4B3F5D" w14:textId="77777777"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D9A9BC8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2540E3">
        <w:rPr>
          <w:rFonts w:asciiTheme="minorHAnsi" w:hAnsiTheme="minorHAnsi" w:cstheme="minorHAnsi"/>
          <w:b/>
        </w:rPr>
        <w:t>31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56C62488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Az értékelhető kérdőívek száma</w:t>
      </w:r>
      <w:r w:rsidR="00E01F01">
        <w:rPr>
          <w:rFonts w:asciiTheme="minorHAnsi" w:hAnsiTheme="minorHAnsi" w:cstheme="minorHAnsi"/>
          <w:b/>
        </w:rPr>
        <w:t xml:space="preserve">: </w:t>
      </w:r>
      <w:r w:rsidR="002F0F1D">
        <w:rPr>
          <w:rFonts w:asciiTheme="minorHAnsi" w:hAnsiTheme="minorHAnsi" w:cstheme="minorHAnsi"/>
          <w:b/>
        </w:rPr>
        <w:t>2</w:t>
      </w:r>
      <w:r w:rsidR="00D84391">
        <w:rPr>
          <w:rFonts w:asciiTheme="minorHAnsi" w:hAnsiTheme="minorHAnsi" w:cstheme="minorHAnsi"/>
          <w:b/>
        </w:rPr>
        <w:t>9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540E3" w:rsidRPr="00297312" w14:paraId="5C4FD64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61C0E1D9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2540E3" w:rsidRPr="00297312" w14:paraId="19E600E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CB60090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2540E3" w:rsidRPr="00297312" w14:paraId="21675F8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8FD204E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2540E3" w:rsidRPr="00297312" w14:paraId="694558AE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0D03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2540E3" w:rsidRPr="00297312" w14:paraId="3B16F73A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C24F998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2540E3" w:rsidRPr="00297312" w14:paraId="5B827379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C5B93C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2540E3" w:rsidRPr="00297312" w14:paraId="7DC7F248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6AB31A9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9,72</w:t>
            </w:r>
          </w:p>
        </w:tc>
      </w:tr>
      <w:tr w:rsidR="002540E3" w:rsidRPr="00297312" w14:paraId="04BA442F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75BFC43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2540E3" w:rsidRPr="00297312" w14:paraId="15CBBD14" w14:textId="77777777" w:rsidTr="00B72CD9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293A0C26" w:rsidR="002540E3" w:rsidRPr="00297312" w:rsidRDefault="002540E3" w:rsidP="002540E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7D449B34" w:rsidR="0010178F" w:rsidRPr="00297312" w:rsidRDefault="007B6128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73D355B5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E01F01">
        <w:rPr>
          <w:rFonts w:asciiTheme="minorHAnsi" w:hAnsiTheme="minorHAnsi" w:cstheme="minorHAnsi"/>
          <w:b/>
        </w:rPr>
        <w:t>2020.0</w:t>
      </w:r>
      <w:r w:rsidR="002540E3">
        <w:rPr>
          <w:rFonts w:asciiTheme="minorHAnsi" w:hAnsiTheme="minorHAnsi" w:cstheme="minorHAnsi"/>
          <w:b/>
        </w:rPr>
        <w:t>8.12.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sectPr w:rsidR="00085EA0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37C40"/>
    <w:rsid w:val="002540E3"/>
    <w:rsid w:val="00297312"/>
    <w:rsid w:val="002F0F1D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100F3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B6128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A67490"/>
    <w:rsid w:val="00A95D56"/>
    <w:rsid w:val="00BD0372"/>
    <w:rsid w:val="00C41B57"/>
    <w:rsid w:val="00C4740D"/>
    <w:rsid w:val="00C52B66"/>
    <w:rsid w:val="00C755CA"/>
    <w:rsid w:val="00CE6839"/>
    <w:rsid w:val="00D84391"/>
    <w:rsid w:val="00DA2624"/>
    <w:rsid w:val="00DB53AC"/>
    <w:rsid w:val="00DC19B7"/>
    <w:rsid w:val="00E01F01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2021-03-01T14:57:00Z</dcterms:created>
  <dcterms:modified xsi:type="dcterms:W3CDTF">2021-03-01T14:57:00Z</dcterms:modified>
</cp:coreProperties>
</file>